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7A7703">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807BB1">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807BB1">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807BB1">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807BB1">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807BB1">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807BB1">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807BB1">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807BB1">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807BB1">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807BB1">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807BB1">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807BB1">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807BB1">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807BB1">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807BB1">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807BB1">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807BB1">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807BB1">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807BB1">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807BB1">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807BB1">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807BB1">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807BB1">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807BB1">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807BB1">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807BB1">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807BB1">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807BB1">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807BB1">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807BB1">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807BB1">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807BB1">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807BB1">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807BB1">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807BB1">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807BB1">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807BB1">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807BB1">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807BB1">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807BB1">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807BB1">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807BB1">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807BB1">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807BB1">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807BB1">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807BB1">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8746B33" w:rsidR="00093CA9" w:rsidRDefault="00D012FC" w:rsidP="00093CA9">
            <w:r w:rsidRPr="00D012FC">
              <w:t>Olaniwun Ajayi</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3C32AEF" w:rsidR="00093CA9" w:rsidRDefault="00F60A2D" w:rsidP="00093CA9">
            <w:r>
              <w:t>Nigeria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FB045C4" w:rsidR="00093CA9" w:rsidRDefault="004C41EB" w:rsidP="00093CA9">
            <w:r w:rsidRPr="004C41EB">
              <w:t>National Energy Master Plan 2022</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46575C0"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EEE3B4B" w:rsidR="00093CA9" w:rsidRDefault="004C41EB"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B487A5C"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36327DC"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ED27E41" w:rsidR="00093CA9" w:rsidRDefault="00003A4F" w:rsidP="00093CA9">
            <w:r>
              <w:t>The National Energy Policy was developed to capture all factors relevant to the balanced and coordinated development of the energy sector, the National Master Plan provides details on the procedures for implementation , monitoring and evaluation of the level of compliance needed to execute the National Energy Policy</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4076F7A" w:rsidR="00093CA9" w:rsidRDefault="00003A4F"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E7A354D" w:rsidR="00093CA9" w:rsidRPr="00173D7C" w:rsidRDefault="00003A4F"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495EC8D" w:rsidR="00093CA9" w:rsidRDefault="00003A4F" w:rsidP="00093CA9">
            <w:r>
              <w:t>Federal Executive Council</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EBA1A04" w:rsidR="00093CA9" w:rsidRPr="006B7B0D" w:rsidRDefault="00003A4F" w:rsidP="00093CA9">
            <w:r>
              <w:t>The Energy Commission of Nigeria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293B43E9" w:rsidR="00093CA9" w:rsidRPr="006B7B0D" w:rsidRDefault="004D7139"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6EF6C8D1" w:rsidR="00093CA9" w:rsidRDefault="00003A4F"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63367736" w14:textId="3CC809C6" w:rsidR="00093CA9" w:rsidRDefault="00003A4F" w:rsidP="00093CA9">
            <w:pPr>
              <w:keepNext/>
              <w:rPr>
                <w:color w:val="000000" w:themeColor="text1"/>
              </w:rPr>
            </w:pPr>
            <w:r>
              <w:rPr>
                <w:color w:val="000000" w:themeColor="text1"/>
              </w:rPr>
              <w:t>Appendix A , Masterplan makes provision for periodic reports every year, with preliminary quarterly reports also encouraged. The reports will reflect the process on the implementation of the plan by evaluating its given parameters across the various sectors the Masterplan focuses on which includes :</w:t>
            </w:r>
          </w:p>
          <w:p w14:paraId="12DDCA3B" w14:textId="77777777" w:rsidR="00003A4F" w:rsidRDefault="00003A4F" w:rsidP="00003A4F">
            <w:pPr>
              <w:pStyle w:val="ListParagraph"/>
              <w:keepNext/>
              <w:numPr>
                <w:ilvl w:val="0"/>
                <w:numId w:val="49"/>
              </w:numPr>
              <w:rPr>
                <w:color w:val="000000" w:themeColor="text1"/>
              </w:rPr>
            </w:pPr>
            <w:r>
              <w:rPr>
                <w:color w:val="000000" w:themeColor="text1"/>
              </w:rPr>
              <w:t>Crude Oil</w:t>
            </w:r>
          </w:p>
          <w:p w14:paraId="18B93E90" w14:textId="77777777" w:rsidR="00003A4F" w:rsidRDefault="00003A4F" w:rsidP="00003A4F">
            <w:pPr>
              <w:pStyle w:val="ListParagraph"/>
              <w:keepNext/>
              <w:numPr>
                <w:ilvl w:val="0"/>
                <w:numId w:val="49"/>
              </w:numPr>
              <w:rPr>
                <w:color w:val="000000" w:themeColor="text1"/>
              </w:rPr>
            </w:pPr>
            <w:r>
              <w:rPr>
                <w:color w:val="000000" w:themeColor="text1"/>
              </w:rPr>
              <w:t>Natural Gas</w:t>
            </w:r>
          </w:p>
          <w:p w14:paraId="3B7D14D7" w14:textId="77777777" w:rsidR="00003A4F" w:rsidRDefault="00003A4F" w:rsidP="00003A4F">
            <w:pPr>
              <w:pStyle w:val="ListParagraph"/>
              <w:keepNext/>
              <w:numPr>
                <w:ilvl w:val="0"/>
                <w:numId w:val="49"/>
              </w:numPr>
              <w:rPr>
                <w:color w:val="000000" w:themeColor="text1"/>
              </w:rPr>
            </w:pPr>
            <w:r>
              <w:rPr>
                <w:color w:val="000000" w:themeColor="text1"/>
              </w:rPr>
              <w:t>Rae Sands/ Bitumen</w:t>
            </w:r>
          </w:p>
          <w:p w14:paraId="0FA20CB2" w14:textId="77777777" w:rsidR="00003A4F" w:rsidRDefault="00003A4F" w:rsidP="00003A4F">
            <w:pPr>
              <w:pStyle w:val="ListParagraph"/>
              <w:keepNext/>
              <w:numPr>
                <w:ilvl w:val="0"/>
                <w:numId w:val="49"/>
              </w:numPr>
              <w:rPr>
                <w:color w:val="000000" w:themeColor="text1"/>
              </w:rPr>
            </w:pPr>
            <w:r>
              <w:rPr>
                <w:color w:val="000000" w:themeColor="text1"/>
              </w:rPr>
              <w:t>Coal</w:t>
            </w:r>
          </w:p>
          <w:p w14:paraId="77E81A70" w14:textId="77777777" w:rsidR="00003A4F" w:rsidRDefault="00003A4F" w:rsidP="00003A4F">
            <w:pPr>
              <w:pStyle w:val="ListParagraph"/>
              <w:keepNext/>
              <w:numPr>
                <w:ilvl w:val="0"/>
                <w:numId w:val="49"/>
              </w:numPr>
              <w:rPr>
                <w:color w:val="000000" w:themeColor="text1"/>
              </w:rPr>
            </w:pPr>
            <w:r>
              <w:rPr>
                <w:color w:val="000000" w:themeColor="text1"/>
              </w:rPr>
              <w:t xml:space="preserve">Nuclear </w:t>
            </w:r>
          </w:p>
          <w:p w14:paraId="2278520D" w14:textId="77777777" w:rsidR="00003A4F" w:rsidRDefault="00003A4F" w:rsidP="00003A4F">
            <w:pPr>
              <w:pStyle w:val="ListParagraph"/>
              <w:keepNext/>
              <w:numPr>
                <w:ilvl w:val="0"/>
                <w:numId w:val="49"/>
              </w:numPr>
              <w:rPr>
                <w:color w:val="000000" w:themeColor="text1"/>
              </w:rPr>
            </w:pPr>
            <w:r>
              <w:rPr>
                <w:color w:val="000000" w:themeColor="text1"/>
              </w:rPr>
              <w:t>Hydropower</w:t>
            </w:r>
          </w:p>
          <w:p w14:paraId="186B4A7D" w14:textId="77777777" w:rsidR="00003A4F" w:rsidRDefault="00003A4F" w:rsidP="00003A4F">
            <w:pPr>
              <w:pStyle w:val="ListParagraph"/>
              <w:keepNext/>
              <w:numPr>
                <w:ilvl w:val="0"/>
                <w:numId w:val="49"/>
              </w:numPr>
              <w:rPr>
                <w:color w:val="000000" w:themeColor="text1"/>
              </w:rPr>
            </w:pPr>
            <w:r>
              <w:rPr>
                <w:color w:val="000000" w:themeColor="text1"/>
              </w:rPr>
              <w:t>Fuelwood</w:t>
            </w:r>
          </w:p>
          <w:p w14:paraId="2F117088" w14:textId="68C5F41F" w:rsidR="00003A4F" w:rsidRDefault="00003A4F" w:rsidP="00003A4F">
            <w:pPr>
              <w:pStyle w:val="ListParagraph"/>
              <w:keepNext/>
              <w:numPr>
                <w:ilvl w:val="0"/>
                <w:numId w:val="49"/>
              </w:numPr>
              <w:rPr>
                <w:color w:val="000000" w:themeColor="text1"/>
              </w:rPr>
            </w:pPr>
            <w:r>
              <w:rPr>
                <w:color w:val="000000" w:themeColor="text1"/>
              </w:rPr>
              <w:t xml:space="preserve">Environment </w:t>
            </w:r>
          </w:p>
          <w:p w14:paraId="01BEC11E" w14:textId="77777777" w:rsidR="00003A4F" w:rsidRDefault="00003A4F" w:rsidP="00003A4F">
            <w:pPr>
              <w:pStyle w:val="ListParagraph"/>
              <w:keepNext/>
              <w:numPr>
                <w:ilvl w:val="0"/>
                <w:numId w:val="49"/>
              </w:numPr>
              <w:rPr>
                <w:color w:val="000000" w:themeColor="text1"/>
              </w:rPr>
            </w:pPr>
            <w:r>
              <w:rPr>
                <w:color w:val="000000" w:themeColor="text1"/>
              </w:rPr>
              <w:t xml:space="preserve">Solar, Biomass and Wind </w:t>
            </w:r>
          </w:p>
          <w:p w14:paraId="246CD1A0" w14:textId="77777777" w:rsidR="00003A4F" w:rsidRDefault="00003A4F" w:rsidP="00003A4F">
            <w:pPr>
              <w:pStyle w:val="ListParagraph"/>
              <w:keepNext/>
              <w:numPr>
                <w:ilvl w:val="0"/>
                <w:numId w:val="49"/>
              </w:numPr>
              <w:rPr>
                <w:color w:val="000000" w:themeColor="text1"/>
              </w:rPr>
            </w:pPr>
            <w:r>
              <w:rPr>
                <w:color w:val="000000" w:themeColor="text1"/>
              </w:rPr>
              <w:t>Electricity</w:t>
            </w:r>
          </w:p>
          <w:p w14:paraId="07CE4843" w14:textId="77777777" w:rsidR="00003A4F" w:rsidRDefault="00003A4F" w:rsidP="00003A4F">
            <w:pPr>
              <w:pStyle w:val="ListParagraph"/>
              <w:keepNext/>
              <w:numPr>
                <w:ilvl w:val="0"/>
                <w:numId w:val="49"/>
              </w:numPr>
              <w:rPr>
                <w:color w:val="000000" w:themeColor="text1"/>
              </w:rPr>
            </w:pPr>
            <w:r>
              <w:rPr>
                <w:color w:val="000000" w:themeColor="text1"/>
              </w:rPr>
              <w:t>Agriculture</w:t>
            </w:r>
          </w:p>
          <w:p w14:paraId="039F0196" w14:textId="77777777" w:rsidR="00003A4F" w:rsidRDefault="00003A4F" w:rsidP="00003A4F">
            <w:pPr>
              <w:pStyle w:val="ListParagraph"/>
              <w:keepNext/>
              <w:numPr>
                <w:ilvl w:val="0"/>
                <w:numId w:val="49"/>
              </w:numPr>
              <w:rPr>
                <w:color w:val="000000" w:themeColor="text1"/>
              </w:rPr>
            </w:pPr>
            <w:r>
              <w:rPr>
                <w:color w:val="000000" w:themeColor="text1"/>
              </w:rPr>
              <w:t>Energy Efficiency and Conservation</w:t>
            </w:r>
          </w:p>
          <w:p w14:paraId="3BF9500E" w14:textId="77777777" w:rsidR="00003A4F" w:rsidRDefault="00003A4F" w:rsidP="00003A4F">
            <w:pPr>
              <w:pStyle w:val="ListParagraph"/>
              <w:keepNext/>
              <w:numPr>
                <w:ilvl w:val="0"/>
                <w:numId w:val="49"/>
              </w:numPr>
              <w:rPr>
                <w:color w:val="000000" w:themeColor="text1"/>
              </w:rPr>
            </w:pPr>
            <w:r>
              <w:rPr>
                <w:color w:val="000000" w:themeColor="text1"/>
              </w:rPr>
              <w:t xml:space="preserve">Research, Development and Training Plan </w:t>
            </w:r>
          </w:p>
          <w:p w14:paraId="6EA338C6" w14:textId="77777777" w:rsidR="00003A4F" w:rsidRDefault="00003A4F" w:rsidP="00003A4F">
            <w:pPr>
              <w:pStyle w:val="ListParagraph"/>
              <w:keepNext/>
              <w:numPr>
                <w:ilvl w:val="0"/>
                <w:numId w:val="49"/>
              </w:numPr>
              <w:rPr>
                <w:color w:val="000000" w:themeColor="text1"/>
              </w:rPr>
            </w:pPr>
            <w:r>
              <w:rPr>
                <w:color w:val="000000" w:themeColor="text1"/>
              </w:rPr>
              <w:t xml:space="preserve">Finance </w:t>
            </w:r>
          </w:p>
          <w:p w14:paraId="2C2128DB" w14:textId="4635AE45" w:rsidR="00003A4F" w:rsidRPr="00003A4F" w:rsidRDefault="00003A4F" w:rsidP="00003A4F">
            <w:pPr>
              <w:pStyle w:val="ListParagraph"/>
              <w:keepNext/>
              <w:numPr>
                <w:ilvl w:val="0"/>
                <w:numId w:val="49"/>
              </w:numPr>
              <w:rPr>
                <w:color w:val="000000" w:themeColor="text1"/>
              </w:rPr>
            </w:pPr>
            <w:r>
              <w:rPr>
                <w:color w:val="000000" w:themeColor="text1"/>
              </w:rPr>
              <w:t>Indigenous</w:t>
            </w:r>
            <w:r w:rsidR="004D7139">
              <w:rPr>
                <w:color w:val="000000" w:themeColor="text1"/>
              </w:rPr>
              <w:t xml:space="preserve"> Considerations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6B1C4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668C1E1" w:rsidR="00C4670C" w:rsidRPr="00C37D48" w:rsidRDefault="00003A4F" w:rsidP="00C37D48">
            <w:pPr>
              <w:rPr>
                <w:rFonts w:ascii="Calibri" w:hAnsi="Calibri" w:cs="Calibri"/>
              </w:rPr>
            </w:pPr>
            <w:r>
              <w:rPr>
                <w:rFonts w:ascii="Calibri" w:hAnsi="Calibri" w:cs="Calibri"/>
              </w:rPr>
              <w:t>X</w:t>
            </w: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612BCD2A" w:rsidR="00C4670C" w:rsidRPr="00C37D48" w:rsidRDefault="00003A4F" w:rsidP="00C37D48">
            <w:pPr>
              <w:rPr>
                <w:rFonts w:ascii="Calibri" w:hAnsi="Calibri" w:cs="Calibri"/>
              </w:rPr>
            </w:pPr>
            <w:r>
              <w:rPr>
                <w:rFonts w:ascii="Calibri" w:hAnsi="Calibri" w:cs="Calibri"/>
              </w:rP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686AB519" w:rsidR="00C4670C" w:rsidRPr="00C37D48" w:rsidRDefault="00003A4F"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2BE2C2BC" w:rsidR="00C4670C" w:rsidRPr="00C37D48" w:rsidRDefault="00003A4F" w:rsidP="00C37D48">
            <w:pPr>
              <w:rPr>
                <w:rFonts w:ascii="Calibri" w:hAnsi="Calibri" w:cs="Calibri"/>
              </w:rPr>
            </w:pPr>
            <w:r>
              <w:rPr>
                <w:rFonts w:ascii="Calibri" w:hAnsi="Calibri" w:cs="Calibri"/>
              </w:rPr>
              <w:t>X</w:t>
            </w: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355572A6" w:rsidR="00C4670C" w:rsidRPr="00C37D48" w:rsidRDefault="00003A4F" w:rsidP="00C37D48">
            <w:pPr>
              <w:rPr>
                <w:rFonts w:ascii="Calibri" w:hAnsi="Calibri" w:cs="Calibri"/>
              </w:rPr>
            </w:pPr>
            <w:r>
              <w:rPr>
                <w:rFonts w:ascii="Calibri" w:hAnsi="Calibri" w:cs="Calibri"/>
              </w:rPr>
              <w:t>X</w:t>
            </w: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2A1C27AB" w:rsidR="00C4670C" w:rsidRPr="00C37D48" w:rsidRDefault="00003A4F" w:rsidP="00C37D48">
            <w:pPr>
              <w:rPr>
                <w:rFonts w:ascii="Calibri" w:hAnsi="Calibri" w:cs="Calibri"/>
              </w:rPr>
            </w:pPr>
            <w:r>
              <w:rPr>
                <w:rFonts w:ascii="Calibri" w:hAnsi="Calibri" w:cs="Calibri"/>
              </w:rPr>
              <w:t>X</w:t>
            </w: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3D654967" w:rsidR="00C4670C" w:rsidRPr="00C37D48" w:rsidRDefault="00003A4F" w:rsidP="00C37D48">
            <w:pPr>
              <w:rPr>
                <w:rFonts w:ascii="Calibri" w:hAnsi="Calibri" w:cs="Calibri"/>
              </w:rPr>
            </w:pPr>
            <w:r>
              <w:rPr>
                <w:rFonts w:ascii="Calibri" w:hAnsi="Calibri" w:cs="Calibri"/>
              </w:rPr>
              <w:t>X</w:t>
            </w: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1BDC5F0" w:rsidR="00C4670C" w:rsidRPr="00C37D48" w:rsidRDefault="00003A4F"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185F7A02" w:rsidR="00C4670C" w:rsidRPr="00C37D48" w:rsidRDefault="00003A4F"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21D84EE8" w:rsidR="00C4670C" w:rsidRPr="00C37D48" w:rsidRDefault="00003A4F"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0257EC42" w:rsidR="00C4670C" w:rsidRPr="00C37D48" w:rsidRDefault="00003A4F"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2020E542" w:rsidR="00C4670C" w:rsidRPr="00C37D48" w:rsidRDefault="00C4670C" w:rsidP="00C37D48">
            <w:pPr>
              <w:rPr>
                <w:rFonts w:ascii="Calibri" w:hAnsi="Calibri" w:cs="Calibri"/>
              </w:rPr>
            </w:pPr>
          </w:p>
        </w:tc>
        <w:tc>
          <w:tcPr>
            <w:tcW w:w="1614" w:type="dxa"/>
            <w:vAlign w:val="center"/>
          </w:tcPr>
          <w:p w14:paraId="15FFC7AD" w14:textId="429598D2" w:rsidR="00C4670C" w:rsidRPr="00C37D48" w:rsidRDefault="00003A4F" w:rsidP="00C37D48">
            <w:pPr>
              <w:rPr>
                <w:rFonts w:ascii="Calibri" w:hAnsi="Calibri" w:cs="Calibri"/>
              </w:rPr>
            </w:pPr>
            <w:commentRangeStart w:id="8"/>
            <w:r>
              <w:rPr>
                <w:rFonts w:ascii="Calibri" w:hAnsi="Calibri" w:cs="Calibri"/>
              </w:rPr>
              <w:t>X</w:t>
            </w:r>
            <w:commentRangeEnd w:id="8"/>
            <w:r>
              <w:rPr>
                <w:rStyle w:val="CommentReference"/>
              </w:rPr>
              <w:commentReference w:id="8"/>
            </w: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0EEFD962" w:rsidR="00C4670C" w:rsidRPr="00C37D48" w:rsidRDefault="004D7139"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020F4884" w:rsidR="004F276F" w:rsidRPr="00C37D48" w:rsidRDefault="00003A4F"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6B1C4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3435098E" w:rsidR="004F276F" w:rsidRPr="00C37D48" w:rsidRDefault="00003A4F" w:rsidP="00C37D48">
            <w:pPr>
              <w:rPr>
                <w:rFonts w:ascii="Calibri" w:hAnsi="Calibri" w:cs="Calibri"/>
              </w:rPr>
            </w:pPr>
            <w:r>
              <w:rPr>
                <w:rFonts w:ascii="Calibri" w:hAnsi="Calibri" w:cs="Calibri"/>
              </w:rPr>
              <w:t>X</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467891DA" w:rsidR="004F276F" w:rsidRPr="00C37D48" w:rsidRDefault="00003A4F"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1A803E40" w:rsidR="004F276F" w:rsidRPr="00C37D48" w:rsidRDefault="00003A4F"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44E0DFDC" w:rsidR="001F30DE" w:rsidRPr="00C37D48" w:rsidRDefault="00003A4F" w:rsidP="00C37D48">
            <w:pPr>
              <w:rPr>
                <w:rFonts w:ascii="Calibri" w:hAnsi="Calibri" w:cs="Calibri"/>
              </w:rPr>
            </w:pPr>
            <w:commentRangeStart w:id="9"/>
            <w:r>
              <w:rPr>
                <w:rFonts w:ascii="Calibri" w:hAnsi="Calibri" w:cs="Calibri"/>
              </w:rPr>
              <w:t>X</w:t>
            </w:r>
            <w:commentRangeEnd w:id="9"/>
            <w:r>
              <w:rPr>
                <w:rStyle w:val="CommentReference"/>
              </w:rPr>
              <w:commentReference w:id="9"/>
            </w: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4055415E" w:rsidR="001F30DE" w:rsidRPr="00C37D48" w:rsidRDefault="00003A4F"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21B98D11" w:rsidR="001F30DE" w:rsidRPr="00C37D48" w:rsidRDefault="00003A4F"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10" w:name="_Toc198223607"/>
      <w:r>
        <w:t xml:space="preserve">Section 2.2: </w:t>
      </w:r>
      <w:r w:rsidR="00F41EE0">
        <w:t>Disclosure of Plans and Targets</w:t>
      </w:r>
      <w:bookmarkEnd w:id="10"/>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6657773" w:rsidR="004F48E8" w:rsidRPr="00C37D48" w:rsidRDefault="00003A4F" w:rsidP="00C37D48">
            <w:pPr>
              <w:rPr>
                <w:rFonts w:ascii="Calibri" w:hAnsi="Calibri" w:cs="Calibri"/>
              </w:rPr>
            </w:pPr>
            <w:commentRangeStart w:id="11"/>
            <w:r>
              <w:rPr>
                <w:rFonts w:ascii="Calibri" w:hAnsi="Calibri" w:cs="Calibri"/>
              </w:rPr>
              <w:t>X</w:t>
            </w:r>
            <w:commentRangeEnd w:id="11"/>
            <w:r>
              <w:rPr>
                <w:rStyle w:val="CommentReference"/>
              </w:rPr>
              <w:commentReference w:id="11"/>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2" w:name="_Toc198223608"/>
      <w:r>
        <w:t xml:space="preserve">Section 2.3: </w:t>
      </w:r>
      <w:r w:rsidR="00F41EE0">
        <w:t>Target Setting</w:t>
      </w:r>
      <w:bookmarkEnd w:id="12"/>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5D1EC12E" w:rsidR="000A1365" w:rsidRPr="00C37D48" w:rsidRDefault="00003A4F"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29FA590C" w14:textId="77777777" w:rsidR="00003A4F" w:rsidRDefault="00003A4F" w:rsidP="00C37D48">
            <w:pPr>
              <w:rPr>
                <w:rFonts w:ascii="Calibri" w:hAnsi="Calibri" w:cs="Calibri"/>
              </w:rPr>
            </w:pPr>
            <w:r>
              <w:rPr>
                <w:rFonts w:ascii="Calibri" w:hAnsi="Calibri" w:cs="Calibri"/>
              </w:rPr>
              <w:t xml:space="preserve">The Policy tool sets out  the following : </w:t>
            </w:r>
          </w:p>
          <w:p w14:paraId="6DF47812" w14:textId="4DC0FDD1" w:rsidR="00003A4F" w:rsidRDefault="00003A4F" w:rsidP="00003A4F">
            <w:pPr>
              <w:pStyle w:val="ListParagraph"/>
              <w:numPr>
                <w:ilvl w:val="0"/>
                <w:numId w:val="50"/>
              </w:numPr>
              <w:rPr>
                <w:rFonts w:ascii="Calibri" w:hAnsi="Calibri" w:cs="Calibri"/>
              </w:rPr>
            </w:pPr>
            <w:r w:rsidRPr="00003A4F">
              <w:rPr>
                <w:rFonts w:ascii="Calibri" w:hAnsi="Calibri" w:cs="Calibri"/>
              </w:rPr>
              <w:t xml:space="preserve">Page 22, Paragraph 11 </w:t>
            </w:r>
            <w:r>
              <w:rPr>
                <w:rFonts w:ascii="Calibri" w:hAnsi="Calibri" w:cs="Calibri"/>
              </w:rPr>
              <w:t>sets out</w:t>
            </w:r>
            <w:r w:rsidRPr="00003A4F">
              <w:rPr>
                <w:rFonts w:ascii="Calibri" w:hAnsi="Calibri" w:cs="Calibri"/>
              </w:rPr>
              <w:t xml:space="preserve"> the percentage of electricity generation that should arise from renewable energy in the long term. </w:t>
            </w:r>
          </w:p>
          <w:p w14:paraId="1A15F7EA" w14:textId="77777777" w:rsidR="00D27551" w:rsidRDefault="00003A4F" w:rsidP="00003A4F">
            <w:pPr>
              <w:pStyle w:val="ListParagraph"/>
              <w:numPr>
                <w:ilvl w:val="0"/>
                <w:numId w:val="50"/>
              </w:numPr>
              <w:rPr>
                <w:rFonts w:ascii="Calibri" w:hAnsi="Calibri" w:cs="Calibri"/>
              </w:rPr>
            </w:pPr>
            <w:r w:rsidRPr="00003A4F">
              <w:rPr>
                <w:rFonts w:ascii="Calibri" w:hAnsi="Calibri" w:cs="Calibri"/>
              </w:rPr>
              <w:t>Page 24 Paragraph 13 sets out the goal for energy- related emission reduction by 2030.</w:t>
            </w:r>
          </w:p>
          <w:p w14:paraId="394EC25B" w14:textId="32653155" w:rsidR="00003A4F" w:rsidRDefault="00003A4F" w:rsidP="00003A4F">
            <w:pPr>
              <w:pStyle w:val="ListParagraph"/>
              <w:numPr>
                <w:ilvl w:val="0"/>
                <w:numId w:val="50"/>
              </w:numPr>
              <w:rPr>
                <w:rFonts w:ascii="Calibri" w:hAnsi="Calibri" w:cs="Calibri"/>
              </w:rPr>
            </w:pPr>
            <w:r>
              <w:rPr>
                <w:rFonts w:ascii="Calibri" w:hAnsi="Calibri" w:cs="Calibri"/>
              </w:rPr>
              <w:t xml:space="preserve">Page 44 Table 4.2– requires the maintenance of the emission performance standard in relation to Coal </w:t>
            </w:r>
          </w:p>
          <w:p w14:paraId="6F22636A" w14:textId="3C2125AC" w:rsidR="00003A4F" w:rsidRDefault="00003A4F" w:rsidP="00003A4F">
            <w:pPr>
              <w:pStyle w:val="ListParagraph"/>
              <w:numPr>
                <w:ilvl w:val="0"/>
                <w:numId w:val="50"/>
              </w:numPr>
              <w:rPr>
                <w:rFonts w:ascii="Calibri" w:hAnsi="Calibri" w:cs="Calibri"/>
              </w:rPr>
            </w:pPr>
            <w:r>
              <w:rPr>
                <w:rFonts w:ascii="Calibri" w:hAnsi="Calibri" w:cs="Calibri"/>
              </w:rPr>
              <w:t>Page 52 Paragraph 3.2 ,subparagraph 3.2.1 , ix requires the natura gas industry maintains a low level of sulphur emissions</w:t>
            </w:r>
          </w:p>
          <w:p w14:paraId="3B64D6B8" w14:textId="4C959578" w:rsidR="00003A4F" w:rsidRDefault="00003A4F" w:rsidP="00003A4F">
            <w:pPr>
              <w:pStyle w:val="ListParagraph"/>
              <w:numPr>
                <w:ilvl w:val="0"/>
                <w:numId w:val="50"/>
              </w:numPr>
              <w:rPr>
                <w:rFonts w:ascii="Calibri" w:hAnsi="Calibri" w:cs="Calibri"/>
              </w:rPr>
            </w:pPr>
            <w:r>
              <w:rPr>
                <w:rFonts w:ascii="Calibri" w:hAnsi="Calibri" w:cs="Calibri"/>
              </w:rPr>
              <w:t>Page 144 Table 9.3  – requires a sustenance of the existing emissions performance in relation to coal- fired power station.</w:t>
            </w:r>
          </w:p>
          <w:p w14:paraId="5E31BCF6" w14:textId="0851097A" w:rsidR="00003A4F" w:rsidRPr="00003A4F" w:rsidRDefault="00003A4F" w:rsidP="00003A4F">
            <w:pPr>
              <w:pStyle w:val="ListParagraph"/>
              <w:numPr>
                <w:ilvl w:val="0"/>
                <w:numId w:val="50"/>
              </w:numPr>
              <w:rPr>
                <w:rFonts w:ascii="Calibri" w:hAnsi="Calibri" w:cs="Calibri"/>
              </w:rPr>
            </w:pPr>
            <w:r>
              <w:rPr>
                <w:rFonts w:ascii="Calibri" w:hAnsi="Calibri" w:cs="Calibri"/>
              </w:rPr>
              <w:t xml:space="preserve">Page 167 Table – requires a reduction of greenhouse gases emissions </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206D6134" w:rsidR="00850F36" w:rsidRPr="00C37D48" w:rsidRDefault="00003A4F" w:rsidP="00C37D48">
            <w:pPr>
              <w:rPr>
                <w:rFonts w:ascii="Calibri" w:hAnsi="Calibri" w:cs="Calibri"/>
              </w:rPr>
            </w:pPr>
            <w:r>
              <w:rPr>
                <w:rFonts w:ascii="Calibri" w:hAnsi="Calibri" w:cs="Calibri"/>
              </w:rPr>
              <w:t>X</w:t>
            </w:r>
          </w:p>
        </w:tc>
        <w:tc>
          <w:tcPr>
            <w:tcW w:w="1456" w:type="dxa"/>
            <w:shd w:val="clear" w:color="auto" w:fill="auto"/>
            <w:vAlign w:val="center"/>
          </w:tcPr>
          <w:p w14:paraId="5B340908" w14:textId="31FF15B0"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1F36D465" w:rsidR="00850F36" w:rsidRPr="00C37D48" w:rsidRDefault="00003A4F" w:rsidP="00C37D48">
            <w:pPr>
              <w:rPr>
                <w:rFonts w:ascii="Calibri" w:hAnsi="Calibri" w:cs="Calibri"/>
              </w:rPr>
            </w:pPr>
            <w:r>
              <w:rPr>
                <w:rFonts w:ascii="Calibri" w:hAnsi="Calibri" w:cs="Calibri"/>
              </w:rPr>
              <w:t>X</w:t>
            </w:r>
          </w:p>
        </w:tc>
        <w:tc>
          <w:tcPr>
            <w:tcW w:w="1456" w:type="dxa"/>
            <w:shd w:val="clear" w:color="auto" w:fill="auto"/>
            <w:vAlign w:val="center"/>
          </w:tcPr>
          <w:p w14:paraId="0322FE29" w14:textId="58AAF829"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2194080B" w:rsidR="00850F36" w:rsidRPr="00C37D48" w:rsidRDefault="00003A4F"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157EEBA1" w:rsidR="00850F36" w:rsidRPr="00C37D48" w:rsidRDefault="00003A4F" w:rsidP="00C37D48">
            <w:pPr>
              <w:rPr>
                <w:rFonts w:ascii="Calibri" w:hAnsi="Calibri" w:cs="Calibri"/>
              </w:rPr>
            </w:pPr>
            <w:r>
              <w:rPr>
                <w:rFonts w:ascii="Calibri" w:hAnsi="Calibri" w:cs="Calibri"/>
              </w:rPr>
              <w:t>X</w:t>
            </w:r>
          </w:p>
        </w:tc>
        <w:tc>
          <w:tcPr>
            <w:tcW w:w="1456" w:type="dxa"/>
            <w:shd w:val="clear" w:color="auto" w:fill="auto"/>
            <w:vAlign w:val="center"/>
          </w:tcPr>
          <w:p w14:paraId="1F1FF9DF" w14:textId="41223729"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ED65C33" w:rsidR="00850F36" w:rsidRPr="00C37D48" w:rsidRDefault="00003A4F" w:rsidP="00C37D48">
            <w:pPr>
              <w:rPr>
                <w:rFonts w:ascii="Calibri" w:hAnsi="Calibri" w:cs="Calibri"/>
              </w:rPr>
            </w:pPr>
            <w:r>
              <w:rPr>
                <w:rFonts w:ascii="Calibri" w:hAnsi="Calibri" w:cs="Calibri"/>
              </w:rPr>
              <w:t>X</w:t>
            </w:r>
          </w:p>
        </w:tc>
        <w:tc>
          <w:tcPr>
            <w:tcW w:w="1456" w:type="dxa"/>
            <w:shd w:val="clear" w:color="auto" w:fill="auto"/>
            <w:vAlign w:val="center"/>
          </w:tcPr>
          <w:p w14:paraId="04582DFC" w14:textId="009BFE4D"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05506805" w:rsidR="00850F36" w:rsidRPr="00C37D48" w:rsidRDefault="00003A4F"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8B32A6E" w:rsidR="00850F36" w:rsidRPr="00C37D48" w:rsidRDefault="00003A4F" w:rsidP="00C37D48">
            <w:pPr>
              <w:rPr>
                <w:rFonts w:ascii="Calibri" w:hAnsi="Calibri" w:cs="Calibri"/>
              </w:rPr>
            </w:pPr>
            <w:r>
              <w:rPr>
                <w:rFonts w:ascii="Calibri" w:hAnsi="Calibri" w:cs="Calibri"/>
              </w:rPr>
              <w:t>X</w:t>
            </w:r>
          </w:p>
        </w:tc>
        <w:tc>
          <w:tcPr>
            <w:tcW w:w="1456" w:type="dxa"/>
            <w:shd w:val="clear" w:color="auto" w:fill="auto"/>
            <w:vAlign w:val="center"/>
          </w:tcPr>
          <w:p w14:paraId="0E60101F" w14:textId="0C6FBB05"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30DBD1E4" w:rsidR="00850F36" w:rsidRPr="00C37D48" w:rsidRDefault="00003A4F" w:rsidP="00C37D48">
            <w:pPr>
              <w:rPr>
                <w:rFonts w:ascii="Calibri" w:hAnsi="Calibri" w:cs="Calibri"/>
              </w:rPr>
            </w:pPr>
            <w:r>
              <w:rPr>
                <w:rFonts w:ascii="Calibri" w:hAnsi="Calibri" w:cs="Calibri"/>
              </w:rPr>
              <w:t>X</w:t>
            </w: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7C0FDC0C" w:rsidR="00850F36" w:rsidRPr="00C37D48" w:rsidRDefault="00003A4F"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0779B41B" w:rsidR="00850F36" w:rsidRPr="00C37D48" w:rsidRDefault="00003A4F" w:rsidP="00C37D48">
            <w:pPr>
              <w:rPr>
                <w:rFonts w:ascii="Calibri" w:hAnsi="Calibri" w:cs="Calibri"/>
              </w:rPr>
            </w:pPr>
            <w:r>
              <w:rPr>
                <w:rFonts w:ascii="Calibri" w:hAnsi="Calibri" w:cs="Calibri"/>
              </w:rPr>
              <w:t>X</w:t>
            </w: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35666870" w:rsidR="00850F36" w:rsidRPr="00C37D48" w:rsidRDefault="00003A4F" w:rsidP="00C37D48">
            <w:pPr>
              <w:rPr>
                <w:rFonts w:ascii="Calibri" w:hAnsi="Calibri" w:cs="Calibri"/>
              </w:rPr>
            </w:pPr>
            <w:r>
              <w:rPr>
                <w:rFonts w:ascii="Calibri" w:hAnsi="Calibri" w:cs="Calibri"/>
              </w:rPr>
              <w:t>X</w:t>
            </w: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743A6FB0"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94C03CB" w:rsidR="00850F36" w:rsidRPr="00C37D48" w:rsidRDefault="00003A4F" w:rsidP="00C37D48">
            <w:pPr>
              <w:rPr>
                <w:rFonts w:ascii="Calibri" w:hAnsi="Calibri" w:cs="Calibri"/>
              </w:rPr>
            </w:pPr>
            <w:r>
              <w:rPr>
                <w:rFonts w:ascii="Calibri" w:hAnsi="Calibri" w:cs="Calibri"/>
              </w:rPr>
              <w:t>X</w:t>
            </w: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372D65A5"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08153696" w:rsidR="00850F36" w:rsidRPr="00C37D48" w:rsidRDefault="00003A4F" w:rsidP="00C37D48">
            <w:pPr>
              <w:rPr>
                <w:rFonts w:ascii="Calibri" w:hAnsi="Calibri" w:cs="Calibri"/>
              </w:rPr>
            </w:pPr>
            <w:r>
              <w:rPr>
                <w:rFonts w:ascii="Calibri" w:hAnsi="Calibri" w:cs="Calibri"/>
              </w:rPr>
              <w:t>X</w:t>
            </w:r>
          </w:p>
        </w:tc>
        <w:tc>
          <w:tcPr>
            <w:tcW w:w="1456" w:type="dxa"/>
            <w:shd w:val="clear" w:color="auto" w:fill="auto"/>
            <w:vAlign w:val="center"/>
          </w:tcPr>
          <w:p w14:paraId="6EE4F476" w14:textId="00DBB75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4FD4DAA5" w:rsidR="00D9431B" w:rsidRPr="00C37D48" w:rsidRDefault="00003A4F" w:rsidP="00C37D48">
            <w:pPr>
              <w:rPr>
                <w:rFonts w:ascii="Calibri" w:hAnsi="Calibri" w:cs="Calibri"/>
              </w:rPr>
            </w:pPr>
            <w:r>
              <w:rPr>
                <w:rFonts w:ascii="Calibri" w:hAnsi="Calibri" w:cs="Calibri"/>
              </w:rPr>
              <w:t xml:space="preserve">The policy tool requires the extension of the importation of vehicles and </w:t>
            </w:r>
            <w:commentRangeStart w:id="13"/>
            <w:r>
              <w:rPr>
                <w:rFonts w:ascii="Calibri" w:hAnsi="Calibri" w:cs="Calibri"/>
              </w:rPr>
              <w:t>machineries that are older than 8 years , as well as a ban on the importation and sale of inefficient appliances.</w:t>
            </w:r>
            <w:commentRangeEnd w:id="13"/>
            <w:r>
              <w:rPr>
                <w:rStyle w:val="CommentReference"/>
              </w:rPr>
              <w:commentReference w:id="13"/>
            </w:r>
          </w:p>
        </w:tc>
      </w:tr>
    </w:tbl>
    <w:p w14:paraId="59195EB3" w14:textId="77777777" w:rsidR="00951BBE" w:rsidRDefault="00951BBE"/>
    <w:p w14:paraId="53B93477" w14:textId="4E6B70AE" w:rsidR="00951BBE" w:rsidRDefault="005E50FD" w:rsidP="00951BBE">
      <w:pPr>
        <w:pStyle w:val="Heading2"/>
      </w:pPr>
      <w:bookmarkStart w:id="14" w:name="_Toc198223609"/>
      <w:r>
        <w:t xml:space="preserve">Section 2.4: </w:t>
      </w:r>
      <w:r w:rsidR="00951BBE">
        <w:t>GHG Emissions Reductions Targets</w:t>
      </w:r>
      <w:bookmarkEnd w:id="14"/>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62FF35B7" w:rsidR="000A1365" w:rsidRPr="00C37D48" w:rsidRDefault="00003A4F"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554E74C"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453A05FB" w:rsidR="00C81DE5" w:rsidRPr="00C37D48" w:rsidRDefault="00003A4F" w:rsidP="00C37D48">
            <w:pPr>
              <w:rPr>
                <w:rFonts w:ascii="Calibri" w:hAnsi="Calibri" w:cs="Calibri"/>
              </w:rPr>
            </w:pPr>
            <w:r>
              <w:rPr>
                <w:rFonts w:ascii="Calibri" w:hAnsi="Calibri" w:cs="Calibri"/>
              </w:rPr>
              <w:t>X</w:t>
            </w: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5E0450F0" w:rsidR="000A1365" w:rsidRPr="00C37D48" w:rsidRDefault="00003A4F" w:rsidP="00C37D48">
            <w:pPr>
              <w:rPr>
                <w:rFonts w:ascii="Calibri" w:hAnsi="Calibri" w:cs="Calibri"/>
              </w:rPr>
            </w:pPr>
            <w:r>
              <w:rPr>
                <w:rFonts w:ascii="Calibri" w:hAnsi="Calibri" w:cs="Calibri"/>
              </w:rPr>
              <w:t>X</w:t>
            </w: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6D92C09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31F29BD9" w:rsidR="000A1365" w:rsidRPr="00C37D48" w:rsidRDefault="00003A4F" w:rsidP="00C37D48">
            <w:pPr>
              <w:rPr>
                <w:rFonts w:ascii="Calibri" w:hAnsi="Calibri" w:cs="Calibri"/>
              </w:rPr>
            </w:pPr>
            <w:commentRangeStart w:id="15"/>
            <w:r>
              <w:rPr>
                <w:rFonts w:ascii="Calibri" w:hAnsi="Calibri" w:cs="Calibri"/>
              </w:rPr>
              <w:t>X</w:t>
            </w:r>
            <w:commentRangeEnd w:id="15"/>
            <w:r>
              <w:rPr>
                <w:rStyle w:val="CommentReference"/>
              </w:rPr>
              <w:commentReference w:id="15"/>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18BFBE2F" w:rsidR="000A1365" w:rsidRPr="00C37D48" w:rsidRDefault="004D7139"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14DDFDEE" w:rsidR="000A1365" w:rsidRPr="00C37D48" w:rsidRDefault="00003A4F"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23F2F999"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23633ED9" w:rsidR="000A1365" w:rsidRPr="00C37D48" w:rsidRDefault="00003A4F"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1F92284F" w:rsidR="000A1365" w:rsidRPr="00C37D48" w:rsidRDefault="00003A4F"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4931DB88" w:rsidR="00D9431B" w:rsidRPr="00C37D48" w:rsidRDefault="004D7139"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6" w:name="_Toc198223610"/>
      <w:r>
        <w:t xml:space="preserve">Section 2.5: </w:t>
      </w:r>
      <w:r w:rsidR="00950B68">
        <w:t>Transition Planning</w:t>
      </w:r>
      <w:bookmarkEnd w:id="16"/>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4521262E" w:rsidR="00890032" w:rsidRPr="00C37D48" w:rsidRDefault="00003A4F"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7" w:name="_Toc198223611"/>
      <w:r>
        <w:t xml:space="preserve">Section 2.6: </w:t>
      </w:r>
      <w:r w:rsidR="00950B68">
        <w:t>Standards and Frameworks</w:t>
      </w:r>
      <w:bookmarkEnd w:id="17"/>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5312780A" w:rsidR="00B610C2" w:rsidRPr="00610F28" w:rsidRDefault="004D7139"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0632981B" w:rsidR="00B610C2" w:rsidRPr="00610F28" w:rsidRDefault="004D7139"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5E01F496" w:rsidR="00B610C2" w:rsidRPr="00610F28" w:rsidRDefault="004D7139"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0C1101DA" w:rsidR="00B610C2" w:rsidRPr="00610F28" w:rsidRDefault="004D7139"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0380B621" w:rsidR="00B610C2" w:rsidRPr="00610F28" w:rsidRDefault="004D7139"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60FB160D" w:rsidR="00B610C2" w:rsidRPr="00610F28" w:rsidRDefault="004D7139"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1B89E0D1" w:rsidR="00B610C2" w:rsidRPr="00610F28" w:rsidRDefault="004D7139"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13828194" w:rsidR="00B610C2" w:rsidRPr="00610F28" w:rsidRDefault="004D7139"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10B1C177" w:rsidR="00B610C2" w:rsidRPr="00610F28" w:rsidRDefault="004D7139"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0E57BCA3" w:rsidR="00B610C2" w:rsidRPr="00610F28" w:rsidRDefault="004D7139"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56EC7ADA" w:rsidR="00B610C2" w:rsidRPr="00610F28" w:rsidRDefault="004D7139"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8" w:name="_Toc198223612"/>
      <w:r>
        <w:t>Domain 3: Public Procurement</w:t>
      </w:r>
      <w:bookmarkEnd w:id="18"/>
      <w:r>
        <w:t xml:space="preserve"> </w:t>
      </w:r>
    </w:p>
    <w:p w14:paraId="0D8B4B9F" w14:textId="5E2943CF" w:rsidR="00950B68" w:rsidRPr="00950B68" w:rsidRDefault="005E50FD" w:rsidP="00950B68">
      <w:pPr>
        <w:pStyle w:val="Heading2"/>
      </w:pPr>
      <w:bookmarkStart w:id="19" w:name="_Toc198223613"/>
      <w:r>
        <w:t xml:space="preserve">Section 3.1: </w:t>
      </w:r>
      <w:r w:rsidR="00950B68">
        <w:t>Who is being targeted?</w:t>
      </w:r>
      <w:bookmarkEnd w:id="19"/>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20"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4107F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21"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20"/>
      <w:bookmarkEnd w:id="21"/>
    </w:tbl>
    <w:p w14:paraId="712268FA" w14:textId="77777777" w:rsidR="00B802FC" w:rsidRDefault="00B802FC"/>
    <w:p w14:paraId="59E94F30" w14:textId="5EC9D13E" w:rsidR="00436F24" w:rsidRDefault="005E50FD" w:rsidP="00436F24">
      <w:pPr>
        <w:pStyle w:val="Heading2"/>
      </w:pPr>
      <w:bookmarkStart w:id="22" w:name="_Toc198223614"/>
      <w:r>
        <w:t xml:space="preserve">Section 3.2: </w:t>
      </w:r>
      <w:r w:rsidR="00436F24">
        <w:t>Procurement Cycle</w:t>
      </w:r>
      <w:bookmarkEnd w:id="22"/>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23" w:name="_Toc198223615"/>
      <w:r>
        <w:t xml:space="preserve">Section 3.3: </w:t>
      </w:r>
      <w:r w:rsidR="002E5ACB">
        <w:t>Life</w:t>
      </w:r>
      <w:r w:rsidR="00DF4489">
        <w:t>-cycle or Whole-life Costing</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24" w:name="_Toc198223616"/>
      <w:r>
        <w:t xml:space="preserve">Section 3.4: </w:t>
      </w:r>
      <w:r w:rsidR="00062526">
        <w:t>Tendering or Solicitation Stage</w:t>
      </w:r>
      <w:bookmarkEnd w:id="24"/>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5" w:name="_Toc198223617"/>
      <w:r>
        <w:t xml:space="preserve">Section 3.5: </w:t>
      </w:r>
      <w:r w:rsidR="00064195">
        <w:t>Exclusion or Debarment Grounds</w:t>
      </w:r>
      <w:bookmarkEnd w:id="25"/>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6" w:name="_Toc198223618"/>
      <w:r>
        <w:t xml:space="preserve">Section 3.6: </w:t>
      </w:r>
      <w:r w:rsidR="00C85DD9">
        <w:t>Qualification or Selection Criteria</w:t>
      </w:r>
      <w:bookmarkEnd w:id="26"/>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7" w:name="_Toc198223619"/>
      <w:r>
        <w:t xml:space="preserve">Section 3.7: </w:t>
      </w:r>
      <w:r w:rsidR="00A42235">
        <w:t>Technical specifications</w:t>
      </w:r>
      <w:bookmarkEnd w:id="27"/>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8" w:name="_Toc198223620"/>
      <w:r>
        <w:t xml:space="preserve">Section 3.8: </w:t>
      </w:r>
      <w:r w:rsidR="001E7C37">
        <w:t>Contract Performance</w:t>
      </w:r>
      <w:bookmarkEnd w:id="28"/>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9" w:name="_Toc198223621"/>
      <w:r>
        <w:t xml:space="preserve">Section 3.9: </w:t>
      </w:r>
      <w:r w:rsidR="00950B68">
        <w:t>Standards and Frameworks</w:t>
      </w:r>
      <w:bookmarkEnd w:id="29"/>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30" w:name="_Toc198223622"/>
      <w:r>
        <w:t>Domain 4: Carbon Credits</w:t>
      </w:r>
      <w:bookmarkEnd w:id="30"/>
    </w:p>
    <w:p w14:paraId="25C35D8C" w14:textId="52BD279F" w:rsidR="001C0769" w:rsidRPr="001C0769" w:rsidRDefault="000428FA" w:rsidP="001C0769">
      <w:pPr>
        <w:pStyle w:val="Heading2"/>
      </w:pPr>
      <w:bookmarkStart w:id="31" w:name="_Toc198223623"/>
      <w:r>
        <w:t xml:space="preserve">Section </w:t>
      </w:r>
      <w:r w:rsidR="00B20D58">
        <w:t>4</w:t>
      </w:r>
      <w:r>
        <w:t xml:space="preserve">.1: </w:t>
      </w:r>
      <w:r w:rsidR="001C0769">
        <w:t>Who is being targeted?</w:t>
      </w:r>
      <w:bookmarkEnd w:id="31"/>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3F0FBC"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32"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32"/>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33" w:name="_Toc198223625"/>
      <w:r>
        <w:t xml:space="preserve">Section </w:t>
      </w:r>
      <w:r w:rsidR="00B20D58">
        <w:t>4</w:t>
      </w:r>
      <w:r>
        <w:t xml:space="preserve">.3: </w:t>
      </w:r>
      <w:r w:rsidR="001C0769" w:rsidRPr="009C4D10">
        <w:t>Governance of Carbon Credits</w:t>
      </w:r>
      <w:bookmarkEnd w:id="33"/>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4" w:name="_4.3.1_Governance_of"/>
            <w:bookmarkEnd w:id="34"/>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5" w:name="_Toc198223626"/>
      <w:r>
        <w:rPr>
          <w:lang w:eastAsia="en-GB"/>
        </w:rPr>
        <w:t xml:space="preserve">Section 4.4: </w:t>
      </w:r>
      <w:r w:rsidR="00F01EE6">
        <w:rPr>
          <w:lang w:eastAsia="en-GB"/>
        </w:rPr>
        <w:t>Policy goal-specific questions</w:t>
      </w:r>
      <w:bookmarkEnd w:id="35"/>
    </w:p>
    <w:p w14:paraId="2A9A2B53" w14:textId="264B0D10" w:rsidR="001C0769" w:rsidRPr="009C4D10" w:rsidRDefault="001C0769" w:rsidP="00B20D58">
      <w:pPr>
        <w:pStyle w:val="Heading3"/>
        <w:rPr>
          <w:rFonts w:eastAsia="Times New Roman"/>
          <w:kern w:val="0"/>
          <w:lang w:eastAsia="en-GB"/>
          <w14:ligatures w14:val="none"/>
        </w:rPr>
      </w:pPr>
      <w:bookmarkStart w:id="36" w:name="_Section_1:_Criteria"/>
      <w:bookmarkStart w:id="37" w:name="_Toc198223627"/>
      <w:bookmarkEnd w:id="36"/>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7"/>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8" w:name="_Section_2:_Carbon"/>
      <w:bookmarkStart w:id="39" w:name="_Toc198223628"/>
      <w:bookmarkEnd w:id="38"/>
      <w:r>
        <w:t xml:space="preserve">Section </w:t>
      </w:r>
      <w:r w:rsidR="00B20D58">
        <w:t>4</w:t>
      </w:r>
      <w:r w:rsidR="00D2196F">
        <w:t>.4.2</w:t>
      </w:r>
      <w:r>
        <w:t xml:space="preserve">: </w:t>
      </w:r>
      <w:r w:rsidRPr="009C4D10">
        <w:t>Carbon Credit Usage in Compliance Market and Voluntary Carbon Market</w:t>
      </w:r>
      <w:bookmarkEnd w:id="39"/>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40" w:name="_Section_3:_Operationalizing"/>
      <w:bookmarkStart w:id="41" w:name="_Toc198223629"/>
      <w:bookmarkEnd w:id="40"/>
      <w:r>
        <w:t xml:space="preserve">Section </w:t>
      </w:r>
      <w:r w:rsidR="00B20D58">
        <w:t>4</w:t>
      </w:r>
      <w:r w:rsidR="004A54B3">
        <w:t>.4.3</w:t>
      </w:r>
      <w:r>
        <w:t xml:space="preserve">: </w:t>
      </w:r>
      <w:r w:rsidRPr="009C4D10">
        <w:t>Operationalizing Paris Agreement Article 6 provisions as they apply to carbon credits</w:t>
      </w:r>
      <w:bookmarkEnd w:id="41"/>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42" w:name="_Section_4:_Exchange"/>
      <w:bookmarkStart w:id="43" w:name="_Toc198223630"/>
      <w:bookmarkEnd w:id="42"/>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43"/>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4" w:name="_Toc198223631"/>
      <w:r w:rsidRPr="009C4D10">
        <w:t>Domain 5: Prudential Tools</w:t>
      </w:r>
      <w:bookmarkEnd w:id="44"/>
    </w:p>
    <w:p w14:paraId="3E16913F" w14:textId="21F34EF6" w:rsidR="00AF3FC6" w:rsidRPr="00AF3FC6" w:rsidRDefault="00455E1B" w:rsidP="00AF3FC6">
      <w:pPr>
        <w:pStyle w:val="Heading2"/>
      </w:pPr>
      <w:bookmarkStart w:id="45" w:name="_Toc198223632"/>
      <w:r>
        <w:t xml:space="preserve">Section 5.1: </w:t>
      </w:r>
      <w:r w:rsidR="00AF3FC6" w:rsidRPr="009C4D10">
        <w:t>Who is being targeted?</w:t>
      </w:r>
      <w:bookmarkEnd w:id="45"/>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3F0FBC"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6" w:name="_Toc198223633"/>
      <w:r>
        <w:rPr>
          <w:lang w:val="en-SG"/>
        </w:rPr>
        <w:t xml:space="preserve">Section 5.2: </w:t>
      </w:r>
      <w:r w:rsidR="00FE66B1" w:rsidRPr="009C4D10">
        <w:rPr>
          <w:lang w:val="en-SG"/>
        </w:rPr>
        <w:t>Policy goal or function of the policy tool</w:t>
      </w:r>
      <w:bookmarkEnd w:id="46"/>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7" w:name="_Section_5.1:_Risk"/>
      <w:bookmarkStart w:id="48" w:name="_Toc198223634"/>
      <w:bookmarkEnd w:id="47"/>
      <w:r>
        <w:t>Section 5.</w:t>
      </w:r>
      <w:r w:rsidR="00455E1B">
        <w:t>2.</w:t>
      </w:r>
      <w:r>
        <w:t xml:space="preserve">1: </w:t>
      </w:r>
      <w:r w:rsidR="00B24E10" w:rsidRPr="009C4D10">
        <w:t>Risk management and governance</w:t>
      </w:r>
      <w:bookmarkEnd w:id="48"/>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9" w:name="_5.3.1_Risk_management"/>
            <w:bookmarkEnd w:id="49"/>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50" w:name="_Section_5.2:_Scenario"/>
      <w:bookmarkStart w:id="51" w:name="_Toc198223635"/>
      <w:bookmarkEnd w:id="50"/>
      <w:r>
        <w:t>Section 5.2</w:t>
      </w:r>
      <w:r w:rsidR="00455E1B">
        <w:t>.2</w:t>
      </w:r>
      <w:r>
        <w:t xml:space="preserve">: </w:t>
      </w:r>
      <w:r w:rsidRPr="009C4D10">
        <w:t>Scenario analysis and stress-testing</w:t>
      </w:r>
      <w:bookmarkEnd w:id="51"/>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52" w:name="_5.3.2_Scenario_analysis"/>
            <w:bookmarkEnd w:id="52"/>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53" w:name="_Section_5.3:_Capital"/>
      <w:bookmarkStart w:id="54" w:name="_Toc198223636"/>
      <w:bookmarkEnd w:id="53"/>
      <w:r>
        <w:t>Section 5.</w:t>
      </w:r>
      <w:r w:rsidR="00455E1B">
        <w:t>2.</w:t>
      </w:r>
      <w:r>
        <w:t xml:space="preserve">3: </w:t>
      </w:r>
      <w:r w:rsidRPr="009C4D10">
        <w:t>Capital and Liquidity Requirements</w:t>
      </w:r>
      <w:bookmarkEnd w:id="54"/>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5" w:name="_5.3.3_Capital_and"/>
            <w:bookmarkEnd w:id="55"/>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6" w:name="_Toc198223637"/>
      <w:r>
        <w:t xml:space="preserve">Section 5.3: </w:t>
      </w:r>
      <w:r w:rsidR="009E1E61">
        <w:t>Standards and Frameworks</w:t>
      </w:r>
      <w:bookmarkEnd w:id="56"/>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807BB1" w:rsidP="00CF2E7C">
            <w:pPr>
              <w:rPr>
                <w:rFonts w:cstheme="minorHAnsi"/>
              </w:rPr>
            </w:pPr>
            <w:hyperlink r:id="rId23"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807BB1" w:rsidP="00CF2E7C">
            <w:pPr>
              <w:rPr>
                <w:rFonts w:cstheme="minorHAnsi"/>
              </w:rPr>
            </w:pPr>
            <w:hyperlink r:id="rId24"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7" w:name="_Toc198223638"/>
      <w:r>
        <w:t>Domain 6: Methane Abatement</w:t>
      </w:r>
      <w:bookmarkEnd w:id="57"/>
    </w:p>
    <w:p w14:paraId="144EDD37" w14:textId="77777777" w:rsidR="002F0752" w:rsidRDefault="002F0752" w:rsidP="002F0752">
      <w:pPr>
        <w:pStyle w:val="Heading2"/>
        <w:rPr>
          <w:rFonts w:ascii="Calibri" w:eastAsia="Calibri" w:hAnsi="Calibri" w:cs="Calibri"/>
          <w:color w:val="000000" w:themeColor="text1"/>
        </w:rPr>
      </w:pPr>
      <w:bookmarkStart w:id="58" w:name="_Toc198223639"/>
      <w:r>
        <w:t>Section 6.1: Who is being targeted?</w:t>
      </w:r>
      <w:bookmarkEnd w:id="58"/>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3F0FB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9" w:name="_Toc198223640"/>
      <w:r>
        <w:rPr>
          <w:rFonts w:eastAsia="Arial"/>
        </w:rPr>
        <w:t xml:space="preserve">Section 6.2: </w:t>
      </w:r>
      <w:r w:rsidRPr="26567C6B">
        <w:rPr>
          <w:rFonts w:eastAsia="Arial"/>
        </w:rPr>
        <w:t>National targets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60" w:name="_Toc198223641"/>
      <w:r>
        <w:rPr>
          <w:rFonts w:eastAsia="Arial"/>
        </w:rPr>
        <w:t>Section 6.3: Methane Pricing</w:t>
      </w:r>
      <w:bookmarkEnd w:id="60"/>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61" w:name="_Toc198223642"/>
      <w:r>
        <w:rPr>
          <w:rFonts w:eastAsia="Arial"/>
        </w:rPr>
        <w:t xml:space="preserve">Section 6.4: </w:t>
      </w:r>
      <w:r w:rsidRPr="26567C6B">
        <w:rPr>
          <w:rFonts w:eastAsia="Arial"/>
        </w:rPr>
        <w:t>Source-specific rules</w:t>
      </w:r>
      <w:bookmarkEnd w:id="61"/>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62" w:name="_Toc198223643"/>
      <w:r>
        <w:rPr>
          <w:rFonts w:eastAsia="Arial"/>
        </w:rPr>
        <w:t xml:space="preserve">6.4.1 </w:t>
      </w:r>
      <w:r w:rsidRPr="26567C6B">
        <w:rPr>
          <w:rFonts w:eastAsia="Arial"/>
        </w:rPr>
        <w:t>Oil and Gas-Related Methane Emissions</w:t>
      </w:r>
      <w:bookmarkEnd w:id="62"/>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63" w:name="_Toc198223644"/>
      <w:r>
        <w:rPr>
          <w:rFonts w:eastAsia="Arial"/>
        </w:rPr>
        <w:t>6.</w:t>
      </w:r>
      <w:r w:rsidRPr="26567C6B">
        <w:rPr>
          <w:rFonts w:eastAsia="Arial"/>
        </w:rPr>
        <w:t>4.2 Coal-Related Methane Emissions</w:t>
      </w:r>
      <w:bookmarkEnd w:id="63"/>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4" w:name="_Toc198223645"/>
      <w:r>
        <w:rPr>
          <w:rFonts w:eastAsia="Arial"/>
        </w:rPr>
        <w:t>6.</w:t>
      </w:r>
      <w:r w:rsidRPr="26567C6B">
        <w:rPr>
          <w:rFonts w:eastAsia="Arial"/>
        </w:rPr>
        <w:t>4.3 Agriculture-Related Methane Emissions</w:t>
      </w:r>
      <w:bookmarkEnd w:id="64"/>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5"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5"/>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7A7703">
      <w:headerReference w:type="default" r:id="rId25"/>
      <w:pgSz w:w="11906" w:h="16838"/>
      <w:pgMar w:top="720" w:right="720" w:bottom="720" w:left="720" w:header="0" w:footer="454"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8" w:author="Olaniwun Ajayi LP" w:date="2025-07-03T10:27:00Z" w:initials="OALP">
    <w:p w14:paraId="4A3A7475" w14:textId="77777777" w:rsidR="00003A4F" w:rsidRDefault="00003A4F" w:rsidP="00003A4F">
      <w:pPr>
        <w:pStyle w:val="CommentText"/>
      </w:pPr>
      <w:r>
        <w:rPr>
          <w:rStyle w:val="CommentReference"/>
        </w:rPr>
        <w:annotationRef/>
      </w:r>
      <w:r>
        <w:rPr>
          <w:rStyle w:val="CommentReference"/>
        </w:rPr>
        <w:annotationRef/>
      </w:r>
      <w:r>
        <w:t xml:space="preserve">In this regard the plan emphasises participation of sectoral actors such as Oil and Gas , Electricity , Solid minerals, renewable energy sectors </w:t>
      </w:r>
    </w:p>
    <w:p w14:paraId="473BC4A3" w14:textId="3F927662" w:rsidR="00003A4F" w:rsidRDefault="00003A4F">
      <w:pPr>
        <w:pStyle w:val="CommentText"/>
      </w:pPr>
    </w:p>
  </w:comment>
  <w:comment w:id="9" w:author="Olaniwun Ajayi LP" w:date="2025-07-03T10:47:00Z" w:initials="OALP">
    <w:p w14:paraId="01F8E71F" w14:textId="0E5725E3" w:rsidR="00003A4F" w:rsidRDefault="00003A4F">
      <w:pPr>
        <w:pStyle w:val="CommentText"/>
      </w:pPr>
      <w:r>
        <w:rPr>
          <w:rStyle w:val="CommentReference"/>
        </w:rPr>
        <w:annotationRef/>
      </w:r>
      <w:r>
        <w:t xml:space="preserve">From my research while several policies already align with the goals of NEMP , such as the electricity Act 2023’s focus on  renewable energy across the nation , there is nothing directly linked to NEMP itself </w:t>
      </w:r>
    </w:p>
  </w:comment>
  <w:comment w:id="11" w:author="Olaniwun Ajayi LP" w:date="2025-07-03T11:04:00Z" w:initials="OALP">
    <w:p w14:paraId="5DA47268" w14:textId="168E1447" w:rsidR="00003A4F" w:rsidRDefault="00003A4F">
      <w:pPr>
        <w:pStyle w:val="CommentText"/>
      </w:pPr>
      <w:r>
        <w:rPr>
          <w:rStyle w:val="CommentReference"/>
        </w:rPr>
        <w:annotationRef/>
      </w:r>
      <w:r>
        <w:t>There are reporting requirements, but it is unclear as to who a</w:t>
      </w:r>
    </w:p>
  </w:comment>
  <w:comment w:id="13" w:author="Olaniwun Ajayi LP" w:date="2025-07-03T12:37:00Z" w:initials="OALP">
    <w:p w14:paraId="33D4DCEF" w14:textId="04312402" w:rsidR="00003A4F" w:rsidRDefault="00003A4F">
      <w:pPr>
        <w:pStyle w:val="CommentText"/>
      </w:pPr>
      <w:r>
        <w:rPr>
          <w:rStyle w:val="CommentReference"/>
        </w:rPr>
        <w:annotationRef/>
      </w:r>
      <w:r>
        <w:t xml:space="preserve">See Table 10.1 on page 161. Table 11.1  page 196 </w:t>
      </w:r>
    </w:p>
  </w:comment>
  <w:comment w:id="15" w:author="Olaniwun Ajayi LP" w:date="2025-07-03T13:20:00Z" w:initials="OALP">
    <w:p w14:paraId="4351A295" w14:textId="7C370E24" w:rsidR="00003A4F" w:rsidRDefault="00003A4F">
      <w:pPr>
        <w:pStyle w:val="CommentText"/>
      </w:pPr>
      <w:r>
        <w:rPr>
          <w:rStyle w:val="CommentReference"/>
        </w:rPr>
        <w:annotationRef/>
      </w:r>
      <w:r>
        <w:t>References made to 2030 are in relation to other policy’s and environmental plans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473BC4A3" w15:done="0"/>
  <w15:commentEx w15:paraId="01F8E71F" w15:done="0"/>
  <w15:commentEx w15:paraId="5DA47268" w15:done="0"/>
  <w15:commentEx w15:paraId="33D4DCEF" w15:done="0"/>
  <w15:commentEx w15:paraId="4351A295"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C10D980" w16cex:dateUtc="2025-07-03T09:27:00Z"/>
  <w16cex:commentExtensible w16cex:durableId="2C10DE31" w16cex:dateUtc="2025-07-03T09:47:00Z"/>
  <w16cex:commentExtensible w16cex:durableId="2C10E24B" w16cex:dateUtc="2025-07-03T10:04:00Z"/>
  <w16cex:commentExtensible w16cex:durableId="2C10F811" w16cex:dateUtc="2025-07-03T11:37:00Z"/>
  <w16cex:commentExtensible w16cex:durableId="2C11023B" w16cex:dateUtc="2025-07-03T12:2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73BC4A3" w16cid:durableId="2C10D980"/>
  <w16cid:commentId w16cid:paraId="01F8E71F" w16cid:durableId="2C10DE31"/>
  <w16cid:commentId w16cid:paraId="5DA47268" w16cid:durableId="2C10E24B"/>
  <w16cid:commentId w16cid:paraId="33D4DCEF" w16cid:durableId="2C10F811"/>
  <w16cid:commentId w16cid:paraId="4351A295" w16cid:durableId="2C11023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7CB073" w14:textId="77777777" w:rsidR="00EB7DD8" w:rsidRDefault="00EB7DD8" w:rsidP="00874E39">
      <w:r>
        <w:separator/>
      </w:r>
    </w:p>
  </w:endnote>
  <w:endnote w:type="continuationSeparator" w:id="0">
    <w:p w14:paraId="589E26AF" w14:textId="77777777" w:rsidR="00EB7DD8" w:rsidRDefault="00EB7DD8" w:rsidP="00874E39">
      <w:r>
        <w:continuationSeparator/>
      </w:r>
    </w:p>
  </w:endnote>
  <w:endnote w:type="continuationNotice" w:id="1">
    <w:p w14:paraId="78E10891" w14:textId="77777777" w:rsidR="00EB7DD8" w:rsidRDefault="00EB7DD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oel="http://schemas.microsoft.com/office/2019/extlst" xmlns:w16du="http://schemas.microsoft.com/office/word/2023/wordml/word16du" xmlns:w16sdtfl="http://schemas.microsoft.com/office/word/2024/wordml/sdtformatlo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8679E9" w14:textId="77777777" w:rsidR="00EB7DD8" w:rsidRDefault="00EB7DD8" w:rsidP="00874E39">
      <w:r>
        <w:separator/>
      </w:r>
    </w:p>
  </w:footnote>
  <w:footnote w:type="continuationSeparator" w:id="0">
    <w:p w14:paraId="028514E3" w14:textId="77777777" w:rsidR="00EB7DD8" w:rsidRDefault="00EB7DD8" w:rsidP="00874E39">
      <w:r>
        <w:continuationSeparator/>
      </w:r>
    </w:p>
  </w:footnote>
  <w:footnote w:type="continuationNotice" w:id="1">
    <w:p w14:paraId="0D864168" w14:textId="77777777" w:rsidR="00EB7DD8" w:rsidRDefault="00EB7DD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3C93AE" w14:textId="77777777" w:rsidR="00003A4F" w:rsidRDefault="00003A4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1F5CF9" w14:textId="77777777" w:rsidR="00003A4F" w:rsidRDefault="00003A4F">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436493B"/>
    <w:multiLevelType w:val="hybridMultilevel"/>
    <w:tmpl w:val="3E468DB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87762B"/>
    <w:multiLevelType w:val="hybridMultilevel"/>
    <w:tmpl w:val="2450533A"/>
    <w:lvl w:ilvl="0" w:tplc="2000000F">
      <w:start w:val="1"/>
      <w:numFmt w:val="decimal"/>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7"/>
  </w:num>
  <w:num w:numId="2">
    <w:abstractNumId w:val="25"/>
  </w:num>
  <w:num w:numId="3">
    <w:abstractNumId w:val="43"/>
  </w:num>
  <w:num w:numId="4">
    <w:abstractNumId w:val="1"/>
  </w:num>
  <w:num w:numId="5">
    <w:abstractNumId w:val="30"/>
  </w:num>
  <w:num w:numId="6">
    <w:abstractNumId w:val="14"/>
  </w:num>
  <w:num w:numId="7">
    <w:abstractNumId w:val="21"/>
  </w:num>
  <w:num w:numId="8">
    <w:abstractNumId w:val="36"/>
  </w:num>
  <w:num w:numId="9">
    <w:abstractNumId w:val="4"/>
  </w:num>
  <w:num w:numId="10">
    <w:abstractNumId w:val="33"/>
  </w:num>
  <w:num w:numId="11">
    <w:abstractNumId w:val="49"/>
  </w:num>
  <w:num w:numId="12">
    <w:abstractNumId w:val="10"/>
  </w:num>
  <w:num w:numId="13">
    <w:abstractNumId w:val="12"/>
  </w:num>
  <w:num w:numId="14">
    <w:abstractNumId w:val="8"/>
  </w:num>
  <w:num w:numId="15">
    <w:abstractNumId w:val="32"/>
  </w:num>
  <w:num w:numId="16">
    <w:abstractNumId w:val="20"/>
  </w:num>
  <w:num w:numId="17">
    <w:abstractNumId w:val="9"/>
  </w:num>
  <w:num w:numId="18">
    <w:abstractNumId w:val="18"/>
  </w:num>
  <w:num w:numId="19">
    <w:abstractNumId w:val="44"/>
  </w:num>
  <w:num w:numId="20">
    <w:abstractNumId w:val="16"/>
  </w:num>
  <w:num w:numId="21">
    <w:abstractNumId w:val="29"/>
  </w:num>
  <w:num w:numId="22">
    <w:abstractNumId w:val="35"/>
  </w:num>
  <w:num w:numId="23">
    <w:abstractNumId w:val="28"/>
  </w:num>
  <w:num w:numId="24">
    <w:abstractNumId w:val="46"/>
  </w:num>
  <w:num w:numId="25">
    <w:abstractNumId w:val="45"/>
  </w:num>
  <w:num w:numId="26">
    <w:abstractNumId w:val="24"/>
  </w:num>
  <w:num w:numId="27">
    <w:abstractNumId w:val="7"/>
  </w:num>
  <w:num w:numId="28">
    <w:abstractNumId w:val="13"/>
  </w:num>
  <w:num w:numId="29">
    <w:abstractNumId w:val="47"/>
  </w:num>
  <w:num w:numId="30">
    <w:abstractNumId w:val="34"/>
  </w:num>
  <w:num w:numId="31">
    <w:abstractNumId w:val="31"/>
  </w:num>
  <w:num w:numId="32">
    <w:abstractNumId w:val="37"/>
  </w:num>
  <w:num w:numId="33">
    <w:abstractNumId w:val="41"/>
  </w:num>
  <w:num w:numId="34">
    <w:abstractNumId w:val="40"/>
  </w:num>
  <w:num w:numId="35">
    <w:abstractNumId w:val="11"/>
  </w:num>
  <w:num w:numId="36">
    <w:abstractNumId w:val="39"/>
  </w:num>
  <w:num w:numId="37">
    <w:abstractNumId w:val="5"/>
  </w:num>
  <w:num w:numId="38">
    <w:abstractNumId w:val="3"/>
  </w:num>
  <w:num w:numId="39">
    <w:abstractNumId w:val="26"/>
  </w:num>
  <w:num w:numId="40">
    <w:abstractNumId w:val="23"/>
  </w:num>
  <w:num w:numId="41">
    <w:abstractNumId w:val="19"/>
  </w:num>
  <w:num w:numId="42">
    <w:abstractNumId w:val="15"/>
  </w:num>
  <w:num w:numId="43">
    <w:abstractNumId w:val="0"/>
  </w:num>
  <w:num w:numId="44">
    <w:abstractNumId w:val="6"/>
  </w:num>
  <w:num w:numId="45">
    <w:abstractNumId w:val="42"/>
  </w:num>
  <w:num w:numId="46">
    <w:abstractNumId w:val="48"/>
  </w:num>
  <w:num w:numId="47">
    <w:abstractNumId w:val="27"/>
  </w:num>
  <w:num w:numId="48">
    <w:abstractNumId w:val="38"/>
  </w:num>
  <w:num w:numId="49">
    <w:abstractNumId w:val="22"/>
  </w:num>
  <w:num w:numId="50">
    <w:abstractNumId w:val="2"/>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Olaniwun Ajayi LP">
    <w15:presenceInfo w15:providerId="None" w15:userId="Olaniwun Ajayi LP"/>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3A4F"/>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0FBC"/>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7FA"/>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41EB"/>
    <w:rsid w:val="004C6739"/>
    <w:rsid w:val="004C70AC"/>
    <w:rsid w:val="004D2730"/>
    <w:rsid w:val="004D3416"/>
    <w:rsid w:val="004D5810"/>
    <w:rsid w:val="004D6484"/>
    <w:rsid w:val="004D7139"/>
    <w:rsid w:val="004D7C53"/>
    <w:rsid w:val="004E4F56"/>
    <w:rsid w:val="004E51B5"/>
    <w:rsid w:val="004F0C55"/>
    <w:rsid w:val="004F276F"/>
    <w:rsid w:val="004F48E8"/>
    <w:rsid w:val="004F529B"/>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1C4A"/>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A7703"/>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07BB1"/>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1F8"/>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5C84"/>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2FC"/>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DD8"/>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A2D"/>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6F53"/>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fontTable" Target="fontTable.xml"/><Relationship Id="rId3" Type="http://schemas.openxmlformats.org/officeDocument/2006/relationships/customXml" Target="../customXml/item3.xml"/><Relationship Id="rId21" Type="http://schemas.microsoft.com/office/2016/09/relationships/commentsIds" Target="commentsIds.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footer" Target="footer2.xml"/><Relationship Id="rId20"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fsb.org/uploads/P131022-1.pdf"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ww.bis.org/fsi/fsibriefs18.pdf" TargetMode="Externa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comments" Target="comment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microsoft.com/office/2018/08/relationships/commentsExtensible" Target="commentsExtensible.xml"/><Relationship Id="rId27" Type="http://schemas.microsoft.com/office/2011/relationships/people" Target="peop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22021</Words>
  <Characters>125524</Characters>
  <Application>Microsoft Office Word</Application>
  <DocSecurity>4</DocSecurity>
  <Lines>1046</Lines>
  <Paragraphs>294</Paragraphs>
  <ScaleCrop>false</ScaleCrop>
  <Company/>
  <LinksUpToDate>false</LinksUpToDate>
  <CharactersWithSpaces>147251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Wonuola Abioye</cp:lastModifiedBy>
  <cp:revision>2</cp:revision>
  <cp:lastPrinted>2025-03-21T00:14:00Z</cp:lastPrinted>
  <dcterms:created xsi:type="dcterms:W3CDTF">2025-07-27T13:04:00Z</dcterms:created>
  <dcterms:modified xsi:type="dcterms:W3CDTF">2025-07-27T13:04:00Z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